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B88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/>
        <w:jc w:val="center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福州英华职业学院</w:t>
      </w:r>
    </w:p>
    <w:p w14:paraId="2A59A5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/>
        <w:jc w:val="center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校舍内加装无线火灾探测报警装置采购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公告</w:t>
      </w:r>
    </w:p>
    <w:p w14:paraId="470F20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福州英华职业学院消防安全需要，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校舍内加装无线火灾探测报警装置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采购进行公开招标，现欢迎供应商参加响应报价，并将有关事项告知如下：</w:t>
      </w:r>
    </w:p>
    <w:p w14:paraId="7C253C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一、项目地点：</w:t>
      </w:r>
    </w:p>
    <w:p w14:paraId="21B50E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0" w:firstLineChars="200"/>
        <w:textAlignment w:val="auto"/>
        <w:rPr>
          <w:rFonts w:hint="eastAsia" w:ascii="微软雅黑" w:hAnsi="微软雅黑" w:eastAsia="宋体" w:cs="微软雅黑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福州英华职业学院（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福州市闽侯县荆溪镇关口内西山128号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</w:p>
    <w:p w14:paraId="6D4AF3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二、项目名称及内容：</w:t>
      </w:r>
    </w:p>
    <w:p w14:paraId="528332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校舍内加装无线火灾探测报警装置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项目</w:t>
      </w:r>
    </w:p>
    <w:p w14:paraId="5D87E3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right="0" w:firstLine="420"/>
        <w:rPr>
          <w:rFonts w:hint="eastAsia" w:ascii="微软雅黑" w:hAnsi="微软雅黑" w:eastAsia="宋体" w:cs="微软雅黑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数量：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37"/>
        <w:gridCol w:w="1890"/>
        <w:gridCol w:w="705"/>
        <w:gridCol w:w="705"/>
        <w:gridCol w:w="2581"/>
      </w:tblGrid>
      <w:tr w14:paraId="4E39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 w14:paraId="364C2E7D"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937" w:type="dxa"/>
            <w:vAlign w:val="top"/>
          </w:tcPr>
          <w:p w14:paraId="767D22BC"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90" w:type="dxa"/>
            <w:vAlign w:val="top"/>
          </w:tcPr>
          <w:p w14:paraId="79072588"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设备型号</w:t>
            </w:r>
          </w:p>
        </w:tc>
        <w:tc>
          <w:tcPr>
            <w:tcW w:w="705" w:type="dxa"/>
            <w:vAlign w:val="top"/>
          </w:tcPr>
          <w:p w14:paraId="5D15CD70"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705" w:type="dxa"/>
          </w:tcPr>
          <w:p w14:paraId="7D25EC10"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2581" w:type="dxa"/>
          </w:tcPr>
          <w:p w14:paraId="4FF285A6"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75C0E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1311F49C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7" w:type="dxa"/>
            <w:vAlign w:val="center"/>
          </w:tcPr>
          <w:p w14:paraId="4EE719D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联网烟雾报警器</w:t>
            </w:r>
          </w:p>
        </w:tc>
        <w:tc>
          <w:tcPr>
            <w:tcW w:w="1890" w:type="dxa"/>
            <w:vAlign w:val="center"/>
          </w:tcPr>
          <w:p w14:paraId="6DE6FCF1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DH-HY-SA2NA-H</w:t>
            </w:r>
          </w:p>
        </w:tc>
        <w:tc>
          <w:tcPr>
            <w:tcW w:w="705" w:type="dxa"/>
            <w:vAlign w:val="center"/>
          </w:tcPr>
          <w:p w14:paraId="32D250C4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1338</w:t>
            </w:r>
          </w:p>
        </w:tc>
        <w:tc>
          <w:tcPr>
            <w:tcW w:w="705" w:type="dxa"/>
            <w:vAlign w:val="center"/>
          </w:tcPr>
          <w:p w14:paraId="382455D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2581" w:type="dxa"/>
          </w:tcPr>
          <w:p w14:paraId="52620C73">
            <w:pPr>
              <w:numPr>
                <w:ilvl w:val="0"/>
                <w:numId w:val="1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设备需接入“华消科技”视消云平台；</w:t>
            </w:r>
          </w:p>
          <w:p w14:paraId="6557681F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2.产品需配备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三年电信卡；</w:t>
            </w:r>
          </w:p>
          <w:p w14:paraId="34DBA1B8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3.产品需配备原装电池。</w:t>
            </w:r>
          </w:p>
        </w:tc>
      </w:tr>
    </w:tbl>
    <w:p w14:paraId="37DB88B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 w:firstLine="562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FZYHH【2025】02-17</w:t>
      </w:r>
    </w:p>
    <w:tbl>
      <w:tblPr>
        <w:tblStyle w:val="3"/>
        <w:tblW w:w="87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15"/>
      </w:tblGrid>
      <w:tr w14:paraId="3774C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54C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（1）保证金账户信息：</w:t>
            </w:r>
          </w:p>
        </w:tc>
      </w:tr>
      <w:tr w14:paraId="52B5D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DDD8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开户名称：福州英华职业学院     单位地址：福州市闽侯县荆溪镇关口内西山128号</w:t>
            </w:r>
          </w:p>
        </w:tc>
      </w:tr>
      <w:tr w14:paraId="219B2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8E48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开户银行：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中信银行闽侯分行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       银行账号：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8111301012600850148</w:t>
            </w:r>
          </w:p>
        </w:tc>
      </w:tr>
      <w:tr w14:paraId="62A6AA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03F8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报价保证金：</w:t>
            </w:r>
          </w:p>
        </w:tc>
      </w:tr>
      <w:tr w14:paraId="22FDE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7BE1C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（1）受邀供应商须在报价时向学院交纳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贰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万元人民币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保证金。</w:t>
            </w:r>
          </w:p>
        </w:tc>
      </w:tr>
      <w:tr w14:paraId="6E2861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759CE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（2）保证金形式只接受电汇、网银方式缴纳。请将电汇底单复印件、网银打印凭证发送至指定邮箱（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fzacchqc@163.com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，邮件名：公司名+投标事项）。</w:t>
            </w:r>
          </w:p>
          <w:p w14:paraId="2F336C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（3）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保证金汇款时请备注：项目名称+项目编号</w:t>
            </w:r>
          </w:p>
        </w:tc>
      </w:tr>
      <w:tr w14:paraId="72D8CE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C2B6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履约保证金缴纳</w:t>
            </w:r>
          </w:p>
        </w:tc>
      </w:tr>
      <w:tr w14:paraId="5877F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CAF0F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中选通知发出后3个工作日内中选单位报价保证金直接转为履约保证金。</w:t>
            </w:r>
          </w:p>
        </w:tc>
      </w:tr>
      <w:tr w14:paraId="57DCF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EB681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有下列情形之一的，保证金不予退还:</w:t>
            </w:r>
          </w:p>
          <w:p w14:paraId="3FB16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(一)竞选单位在提交响应文件截止时间后修改或撤回响应文件的；</w:t>
            </w:r>
          </w:p>
          <w:p w14:paraId="3CDF2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(二)除因不可抗力，选中单位取得成交资格后，放弃成交资格或不按采购要求与采购人签订合同的；</w:t>
            </w:r>
          </w:p>
          <w:p w14:paraId="562543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(三)项目未经采购人书面同意而进行转包或分包的；</w:t>
            </w:r>
          </w:p>
          <w:p w14:paraId="46278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(四)有围标、串标等违法违规行为的；</w:t>
            </w:r>
          </w:p>
          <w:p w14:paraId="0D67B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(五)提供虚假资料或弄虚作假参与采购项目的；</w:t>
            </w:r>
          </w:p>
          <w:p w14:paraId="389317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(六)采购文件规定的其他情形。</w:t>
            </w:r>
          </w:p>
        </w:tc>
      </w:tr>
    </w:tbl>
    <w:p w14:paraId="31E58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四、报价文件</w:t>
      </w:r>
    </w:p>
    <w:p w14:paraId="7AAE5A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①资格及资信证明部分（正本1份、副本4份）；</w:t>
      </w:r>
    </w:p>
    <w:p w14:paraId="75F17F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包含但不限于：</w:t>
      </w:r>
    </w:p>
    <w:p w14:paraId="470AEE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1、营业执照（三证合一）及消防维保资质材料</w:t>
      </w:r>
    </w:p>
    <w:p w14:paraId="71800D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2、授权委托书或者法人身份证复印件（加盖公章）</w:t>
      </w:r>
    </w:p>
    <w:p w14:paraId="05256D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3、财务状况报告（财务报告或资信证明）</w:t>
      </w:r>
    </w:p>
    <w:p w14:paraId="654A37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4、依法缴纳税收证明材料</w:t>
      </w:r>
    </w:p>
    <w:p w14:paraId="00A5F5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5、依法缴纳社会保障资金证明材料</w:t>
      </w:r>
    </w:p>
    <w:p w14:paraId="2784F9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6、参加采购活动前三年内在经营活动中没有重大违法记录书面声明</w:t>
      </w:r>
    </w:p>
    <w:p w14:paraId="39C60B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7、学校或单位的中标书复印件（加盖公章）（20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至今）</w:t>
      </w:r>
    </w:p>
    <w:p w14:paraId="5250AA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8、须提供产品有效的证明文件或认证证书复印件并加盖报价单位公章。</w:t>
      </w:r>
    </w:p>
    <w:p w14:paraId="26B437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9、信用信息查询结果：通过“信用中国”网站、中国政府采购网查询并打印相应的信用记录。</w:t>
      </w:r>
    </w:p>
    <w:p w14:paraId="61EBA6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10、其他资格证明文件</w:t>
      </w:r>
    </w:p>
    <w:p w14:paraId="79FCA4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2" w:firstLineChars="200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209BF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2" w:firstLineChars="200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70699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②报价部分，（正本2份、副本5份）：</w:t>
      </w:r>
    </w:p>
    <w:p w14:paraId="5F9D41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A、方案：包含但不限于：成品保护措施、防火施工措施、高空防护措施、施工进度表及维修工期等。</w:t>
      </w:r>
    </w:p>
    <w:p w14:paraId="7A87D8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B、报价：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详附件一。</w:t>
      </w:r>
    </w:p>
    <w:p w14:paraId="223223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C、安全要求：中选人负责施工安装调试过程中的所有安全问题，若出现任何安全事故，由中选人自行负责。</w:t>
      </w:r>
    </w:p>
    <w:p w14:paraId="383DB0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D、中选人在设备供货时必须提供为全新货物、本次项目内涉及设备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至少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免费保修叁年的承诺函，否则采购人有权要求更换货物或者返工或不予以支付维修费用。</w:t>
      </w:r>
    </w:p>
    <w:p w14:paraId="0F5679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售后要求：</w:t>
      </w:r>
    </w:p>
    <w:p w14:paraId="5F32ED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(1)中标人应对所提供设备至少免费保修叁年（且不得低于生产厂家要求，含所有配件及耗材)，终身维修（含附属设备）（技术参数有要求的以技术参数的为准）。</w:t>
      </w:r>
    </w:p>
    <w:p w14:paraId="16E777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)免费保修期自设备整机安装调试正常等，项目验收合格签名之日起计算。</w:t>
      </w:r>
    </w:p>
    <w:p w14:paraId="0998CC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)保修期内，中标人在免费保修期内须提供免费上门维修服务，非因操作不当造成要更换的零配件及设备由中标人负责包修、包换。如保修期内同一故障发生三次，或在一个月内无法修复，中标人无条件换货，立即换新；如保修期内因故障，按故障时间的双倍顺延保修期。免费保修期满前1个月内中标人应负责对产品进行一次免费全面检查，如发现潜在问题，应负责排除，保证设备正常运行。质量保证期后的服务不收取上门服务人工及差旅费，只收取材料成本费。</w:t>
      </w:r>
    </w:p>
    <w:p w14:paraId="67B552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)售后服务响应时间：质保期内所供设备在使用中发生问题，在接到电话通知后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不低于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4小时内响应维修服务，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不低于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12小时内到达现场进行免费维修服务。若在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不低于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24小时内无法排除故障的，则提供相应的备用设备供采购人正常使用。质保期结束后，上述响应时间仍应与质保期内一样。</w:t>
      </w:r>
    </w:p>
    <w:p w14:paraId="1BCFE0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、增值服务方案：</w:t>
      </w:r>
    </w:p>
    <w:p w14:paraId="41670F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F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、本项目所发生的一切费用（施工费、人工费、材料费、安装费、调试费、保险费、税费、高空费及其他相关费用等）均包含在报价中；</w:t>
      </w:r>
    </w:p>
    <w:p w14:paraId="300736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③承诺：</w:t>
      </w:r>
    </w:p>
    <w:p w14:paraId="091000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A、投标内容为提供服务的最低标准，最终以合同签订为准。</w:t>
      </w:r>
    </w:p>
    <w:p w14:paraId="2654A4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B、完工时间202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0日前（具体以合同签订为准）。</w:t>
      </w:r>
    </w:p>
    <w:p w14:paraId="0E963F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C、结算方式：</w:t>
      </w:r>
    </w:p>
    <w:tbl>
      <w:tblPr>
        <w:tblStyle w:val="3"/>
        <w:tblpPr w:leftFromText="180" w:rightFromText="180" w:vertAnchor="text" w:horzAnchor="page" w:tblpX="1873" w:tblpY="472"/>
        <w:tblOverlap w:val="never"/>
        <w:tblW w:w="858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725"/>
        <w:gridCol w:w="5820"/>
      </w:tblGrid>
      <w:tr w14:paraId="791D0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E02F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支付期次</w:t>
            </w:r>
          </w:p>
        </w:tc>
        <w:tc>
          <w:tcPr>
            <w:tcW w:w="17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452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支付比例(%)</w:t>
            </w:r>
          </w:p>
        </w:tc>
        <w:tc>
          <w:tcPr>
            <w:tcW w:w="58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4A79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支付期次说明</w:t>
            </w:r>
          </w:p>
        </w:tc>
      </w:tr>
      <w:tr w14:paraId="0706D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FE7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794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95</w:t>
            </w:r>
          </w:p>
        </w:tc>
        <w:tc>
          <w:tcPr>
            <w:tcW w:w="5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8DA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项目完工，中标人提供有效的增值税全额发票后，15个工作日内采购人向中标人支付合同款的60%；待消防专项验收合格后，15个工作日内采购人向中标人支付合同款的35%。</w:t>
            </w:r>
          </w:p>
        </w:tc>
      </w:tr>
      <w:tr w14:paraId="359FA0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3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860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0B8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85D0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剩余的5%，验收合格一年后，经确认无质量问题或违约责任后30个工作日内无息退还。</w:t>
            </w:r>
          </w:p>
        </w:tc>
      </w:tr>
    </w:tbl>
    <w:p w14:paraId="4AE0AE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2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④U盘1份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（含以上文件扫描版）。</w:t>
      </w:r>
    </w:p>
    <w:p w14:paraId="09BFCD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五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、工作流程：</w:t>
      </w:r>
    </w:p>
    <w:p w14:paraId="40E645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1、学院在报价截止时间后对收到的报价文件组织初审，对通过初审的受邀供应商，学院将组织其参与竞争性磋商采购，最终确定中标单位。</w:t>
      </w:r>
    </w:p>
    <w:p w14:paraId="06A264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2、通过学院初审的受邀供应商的报价保证金全额转为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竞争性谈判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保证金，如若无故主动放弃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竞争性谈判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，我院有权全额没收其保证金；未通过初审的受邀供应商，其报价保证金将在该项招标工作结束后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个工作日内按原账户返还。</w:t>
      </w:r>
    </w:p>
    <w:p w14:paraId="725DD0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六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、其他要求：</w:t>
      </w:r>
    </w:p>
    <w:p w14:paraId="54C915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1、本次报价不接受联合体报价，不允许转包、分包。</w:t>
      </w:r>
    </w:p>
    <w:p w14:paraId="027022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2、完工时间202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0日前（具体以合同签订为准）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170993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七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、报名办法：</w:t>
      </w:r>
    </w:p>
    <w:p w14:paraId="465110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请有意参与的单位根据要求于202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日下午1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时前将加盖公章的报价文件及相关资质证明文件装入标准密封袋中（封口处亦需加盖单位公章）递交至福州英华职业学院鹤龄楼20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老师收。</w:t>
      </w:r>
    </w:p>
    <w:p w14:paraId="4C97D3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八、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密封及其标记的具体形式：</w:t>
      </w:r>
    </w:p>
    <w:p w14:paraId="3F29C6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（1）全部响应文件包括正本、副本、电子文本均应密封。未密封将导致响应文件被拒收。</w:t>
      </w:r>
    </w:p>
    <w:p w14:paraId="6072F7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（2）密封的外包装应至少标记“项目名称、项目编号、单位及联系人、联系方式”等。</w:t>
      </w:r>
    </w:p>
    <w:p w14:paraId="5D50A1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2" w:firstLineChars="200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 w14:paraId="029687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2" w:firstLineChars="200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 w14:paraId="10CD5A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九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、报名时间截止:</w:t>
      </w:r>
    </w:p>
    <w:p w14:paraId="21B09D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日下午1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时，未在规定时间内或未按规定缴纳相关费用的报价供应商，福州英华职业学院均不予认可，其报价行为无效。</w:t>
      </w:r>
    </w:p>
    <w:p w14:paraId="13491A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2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十、材料递交地址及联系方式：</w:t>
      </w:r>
    </w:p>
    <w:p w14:paraId="31B7FD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福州市闽侯县荆溪镇关口内西山128号</w:t>
      </w:r>
    </w:p>
    <w:p w14:paraId="59B235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福州英华职业学院鹤龄楼20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室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老师 收</w:t>
      </w:r>
    </w:p>
    <w:p w14:paraId="618035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560" w:firstLineChars="200"/>
        <w:textAlignment w:val="auto"/>
        <w:rPr>
          <w:rFonts w:hint="default" w:ascii="微软雅黑" w:hAnsi="微软雅黑" w:eastAsia="宋体" w:cs="微软雅黑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联系电话: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18815900789</w:t>
      </w:r>
    </w:p>
    <w:p w14:paraId="63A2DC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福州英华职业学院</w:t>
      </w:r>
    </w:p>
    <w:p w14:paraId="71A3FF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 w14:paraId="0451B50E">
      <w:pPr>
        <w:rPr>
          <w:rFonts w:hint="eastAsia"/>
          <w:b/>
          <w:bCs/>
          <w:sz w:val="32"/>
          <w:szCs w:val="32"/>
          <w:lang w:eastAsia="zh-CN"/>
        </w:rPr>
      </w:pPr>
    </w:p>
    <w:p w14:paraId="57193631">
      <w:pPr>
        <w:rPr>
          <w:rFonts w:hint="eastAsia"/>
          <w:b/>
          <w:bCs/>
          <w:sz w:val="32"/>
          <w:szCs w:val="32"/>
          <w:lang w:eastAsia="zh-CN"/>
        </w:rPr>
      </w:pPr>
    </w:p>
    <w:p w14:paraId="58D61E8B">
      <w:pPr>
        <w:rPr>
          <w:rFonts w:hint="eastAsia"/>
          <w:b/>
          <w:bCs/>
          <w:sz w:val="32"/>
          <w:szCs w:val="32"/>
          <w:lang w:eastAsia="zh-CN"/>
        </w:rPr>
      </w:pPr>
    </w:p>
    <w:p w14:paraId="46A4D0A4">
      <w:pPr>
        <w:rPr>
          <w:rFonts w:hint="eastAsia"/>
          <w:b/>
          <w:bCs/>
          <w:sz w:val="32"/>
          <w:szCs w:val="32"/>
          <w:lang w:eastAsia="zh-CN"/>
        </w:rPr>
      </w:pPr>
    </w:p>
    <w:p w14:paraId="14FD48F6">
      <w:pPr>
        <w:rPr>
          <w:rFonts w:hint="eastAsia"/>
          <w:b/>
          <w:bCs/>
          <w:sz w:val="32"/>
          <w:szCs w:val="32"/>
          <w:lang w:eastAsia="zh-CN"/>
        </w:rPr>
      </w:pPr>
    </w:p>
    <w:p w14:paraId="6F19064B">
      <w:pPr>
        <w:rPr>
          <w:rFonts w:hint="eastAsia"/>
          <w:b/>
          <w:bCs/>
          <w:sz w:val="32"/>
          <w:szCs w:val="32"/>
          <w:lang w:eastAsia="zh-CN"/>
        </w:rPr>
      </w:pPr>
    </w:p>
    <w:p w14:paraId="459EBE3F">
      <w:pPr>
        <w:rPr>
          <w:rFonts w:hint="eastAsia"/>
          <w:b/>
          <w:bCs/>
          <w:sz w:val="32"/>
          <w:szCs w:val="32"/>
          <w:lang w:eastAsia="zh-CN"/>
        </w:rPr>
      </w:pPr>
    </w:p>
    <w:p w14:paraId="4663AAAF">
      <w:pPr>
        <w:rPr>
          <w:rFonts w:hint="eastAsia"/>
          <w:b/>
          <w:bCs/>
          <w:sz w:val="32"/>
          <w:szCs w:val="32"/>
          <w:lang w:eastAsia="zh-CN"/>
        </w:rPr>
      </w:pPr>
    </w:p>
    <w:p w14:paraId="3217DBCC">
      <w:pPr>
        <w:rPr>
          <w:rFonts w:hint="eastAsia"/>
          <w:b/>
          <w:bCs/>
          <w:sz w:val="32"/>
          <w:szCs w:val="32"/>
          <w:lang w:eastAsia="zh-CN"/>
        </w:rPr>
      </w:pPr>
    </w:p>
    <w:p w14:paraId="7B980361">
      <w:pPr>
        <w:rPr>
          <w:rFonts w:hint="eastAsia"/>
          <w:b/>
          <w:bCs/>
          <w:sz w:val="32"/>
          <w:szCs w:val="32"/>
          <w:lang w:eastAsia="zh-CN"/>
        </w:rPr>
      </w:pPr>
    </w:p>
    <w:p w14:paraId="3BEF527C">
      <w:pPr>
        <w:rPr>
          <w:rFonts w:hint="eastAsia"/>
          <w:b/>
          <w:bCs/>
          <w:sz w:val="32"/>
          <w:szCs w:val="32"/>
          <w:lang w:eastAsia="zh-CN"/>
        </w:rPr>
      </w:pPr>
    </w:p>
    <w:p w14:paraId="4019CC80">
      <w:pPr>
        <w:rPr>
          <w:rFonts w:hint="eastAsia"/>
          <w:b/>
          <w:bCs/>
          <w:sz w:val="32"/>
          <w:szCs w:val="32"/>
          <w:lang w:eastAsia="zh-CN"/>
        </w:rPr>
      </w:pPr>
    </w:p>
    <w:p w14:paraId="2E385A4E">
      <w:pPr>
        <w:rPr>
          <w:rFonts w:hint="eastAsia"/>
          <w:b/>
          <w:bCs/>
          <w:sz w:val="32"/>
          <w:szCs w:val="32"/>
          <w:lang w:eastAsia="zh-CN"/>
        </w:rPr>
      </w:pPr>
    </w:p>
    <w:p w14:paraId="150CA207"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365"/>
        <w:gridCol w:w="1393"/>
        <w:gridCol w:w="737"/>
        <w:gridCol w:w="795"/>
        <w:gridCol w:w="825"/>
        <w:gridCol w:w="840"/>
        <w:gridCol w:w="1966"/>
      </w:tblGrid>
      <w:tr w14:paraId="6971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vAlign w:val="top"/>
          </w:tcPr>
          <w:p w14:paraId="7813E548"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65" w:type="dxa"/>
            <w:vAlign w:val="top"/>
          </w:tcPr>
          <w:p w14:paraId="6B92CC37"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93" w:type="dxa"/>
            <w:vAlign w:val="top"/>
          </w:tcPr>
          <w:p w14:paraId="265B2765"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设备型号</w:t>
            </w:r>
          </w:p>
        </w:tc>
        <w:tc>
          <w:tcPr>
            <w:tcW w:w="737" w:type="dxa"/>
            <w:vAlign w:val="top"/>
          </w:tcPr>
          <w:p w14:paraId="29F87D27"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795" w:type="dxa"/>
            <w:vAlign w:val="top"/>
          </w:tcPr>
          <w:p w14:paraId="6E99722E"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825" w:type="dxa"/>
          </w:tcPr>
          <w:p w14:paraId="51A82F20"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840" w:type="dxa"/>
          </w:tcPr>
          <w:p w14:paraId="65B2B3A4"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总价（元）</w:t>
            </w:r>
          </w:p>
        </w:tc>
        <w:tc>
          <w:tcPr>
            <w:tcW w:w="1966" w:type="dxa"/>
          </w:tcPr>
          <w:p w14:paraId="5A7FD71C"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1B8C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vAlign w:val="center"/>
          </w:tcPr>
          <w:p w14:paraId="419A8A18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 w14:paraId="616BE84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联网烟雾报警器</w:t>
            </w:r>
          </w:p>
        </w:tc>
        <w:tc>
          <w:tcPr>
            <w:tcW w:w="1393" w:type="dxa"/>
            <w:vAlign w:val="center"/>
          </w:tcPr>
          <w:p w14:paraId="2890F265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DH-HY-SA2NA-H</w:t>
            </w:r>
          </w:p>
        </w:tc>
        <w:tc>
          <w:tcPr>
            <w:tcW w:w="737" w:type="dxa"/>
            <w:vAlign w:val="center"/>
          </w:tcPr>
          <w:p w14:paraId="1DE3343A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1338</w:t>
            </w:r>
          </w:p>
        </w:tc>
        <w:tc>
          <w:tcPr>
            <w:tcW w:w="795" w:type="dxa"/>
            <w:vAlign w:val="center"/>
          </w:tcPr>
          <w:p w14:paraId="645A101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825" w:type="dxa"/>
            <w:vAlign w:val="center"/>
          </w:tcPr>
          <w:p w14:paraId="2298C96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</w:tcPr>
          <w:p w14:paraId="10E45BB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6" w:type="dxa"/>
          </w:tcPr>
          <w:p w14:paraId="31A23DCF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设备需接入“华消科技”视消云平台；</w:t>
            </w:r>
          </w:p>
          <w:p w14:paraId="7D035CBA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2.产品需配备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三年电信卡；</w:t>
            </w:r>
          </w:p>
          <w:p w14:paraId="3D6F54E2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3.产品需配备电池。</w:t>
            </w:r>
          </w:p>
        </w:tc>
      </w:tr>
    </w:tbl>
    <w:p w14:paraId="473A92C4">
      <w:p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注：</w:t>
      </w:r>
      <w:r>
        <w:rPr>
          <w:rFonts w:hint="eastAsia"/>
          <w:b/>
          <w:bCs/>
          <w:sz w:val="30"/>
          <w:szCs w:val="30"/>
          <w:lang w:eastAsia="zh-CN"/>
        </w:rPr>
        <w:t>以上报价</w:t>
      </w:r>
      <w:r>
        <w:rPr>
          <w:rFonts w:hint="eastAsia"/>
          <w:b/>
          <w:bCs/>
          <w:sz w:val="30"/>
          <w:szCs w:val="30"/>
          <w:lang w:val="en-US" w:eastAsia="zh-CN"/>
        </w:rPr>
        <w:t>均包含产品安装及调试费用、平台接入授权费用。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B44230"/>
    <w:multiLevelType w:val="singleLevel"/>
    <w:tmpl w:val="4EB442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02FEC"/>
    <w:rsid w:val="023C6D4D"/>
    <w:rsid w:val="0A944F8C"/>
    <w:rsid w:val="1BFD6923"/>
    <w:rsid w:val="1E9C35FE"/>
    <w:rsid w:val="265B2CD7"/>
    <w:rsid w:val="279F30CA"/>
    <w:rsid w:val="42A641A7"/>
    <w:rsid w:val="4AC96E1F"/>
    <w:rsid w:val="5487604F"/>
    <w:rsid w:val="55CD2014"/>
    <w:rsid w:val="61902FEC"/>
    <w:rsid w:val="6B01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2468</Words>
  <Characters>2614</Characters>
  <Lines>0</Lines>
  <Paragraphs>0</Paragraphs>
  <TotalTime>14</TotalTime>
  <ScaleCrop>false</ScaleCrop>
  <LinksUpToDate>false</LinksUpToDate>
  <CharactersWithSpaces>2634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2025-06-05T00:34:00Z</dcterms:created>
  <dc:creator>微信用户</dc:creator>
  <cp:lastModifiedBy>WPS_1664162863</cp:lastModifiedBy>
  <cp:lastPrinted>2025-06-06T00:42:00Z</cp:lastPrinted>
  <dcterms:modified xsi:type="dcterms:W3CDTF">2025-06-12T04:38:13Z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eyJoZGlkIjoiNDYwOTQ5NjY2M2U1MDRlZmNkOTJhYWFkYzZhNmM4OTUiLCJ1c2VySWQiOiIxNDEzNTA0NDU1In0=</vt:lpwstr>
  </property>
  <property fmtid="{D5CDD505-2E9C-101B-9397-08002B2CF9AE}" pid="4" name="ICV">
    <vt:lpwstr>B7E6D3DA84514DD5A25189C6A1F731B1_12</vt:lpwstr>
  </property>
</Properties>
</file>